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B59" w:rsidRPr="000A1DF6" w:rsidRDefault="007E3B59" w:rsidP="007E3B59">
      <w:pPr>
        <w:keepNext/>
        <w:keepLines/>
        <w:spacing w:after="0" w:line="240" w:lineRule="auto"/>
        <w:jc w:val="center"/>
        <w:outlineLvl w:val="0"/>
        <w:rPr>
          <w:rFonts w:ascii="Arial" w:eastAsia="Times New Roman" w:hAnsi="Arial" w:cs="Arial"/>
          <w:b/>
          <w:color w:val="365F91"/>
          <w:sz w:val="20"/>
          <w:szCs w:val="20"/>
          <w:lang w:val="en-GB" w:eastAsia="en-GB"/>
        </w:rPr>
      </w:pPr>
      <w:r w:rsidRPr="000A1DF6">
        <w:rPr>
          <w:rFonts w:ascii="Arial" w:eastAsia="Times New Roman" w:hAnsi="Arial" w:cs="Arial"/>
          <w:b/>
          <w:color w:val="365F91"/>
          <w:sz w:val="20"/>
          <w:szCs w:val="20"/>
          <w:lang w:val="en-GB" w:eastAsia="en-GB"/>
        </w:rPr>
        <w:t>Privacy Statement – Users of the Case Management Tool (CMT)</w:t>
      </w:r>
    </w:p>
    <w:p w:rsidR="007E3B59" w:rsidRPr="000A1DF6" w:rsidRDefault="007E3B59" w:rsidP="007E3B59">
      <w:pPr>
        <w:keepNext/>
        <w:keepLines/>
        <w:spacing w:after="0" w:line="240" w:lineRule="auto"/>
        <w:jc w:val="both"/>
        <w:rPr>
          <w:rFonts w:ascii="Arial" w:hAnsi="Arial" w:cs="Arial"/>
          <w:sz w:val="20"/>
          <w:szCs w:val="20"/>
        </w:rPr>
      </w:pPr>
    </w:p>
    <w:p w:rsidR="007E3B59" w:rsidRPr="000A1DF6" w:rsidRDefault="007E3B59" w:rsidP="007E3B59">
      <w:pPr>
        <w:pStyle w:val="ListParagraph"/>
        <w:keepNext/>
        <w:keepLines/>
        <w:numPr>
          <w:ilvl w:val="0"/>
          <w:numId w:val="1"/>
        </w:numPr>
        <w:spacing w:after="0" w:line="240" w:lineRule="auto"/>
        <w:jc w:val="both"/>
        <w:outlineLvl w:val="0"/>
        <w:rPr>
          <w:rFonts w:ascii="Arial" w:eastAsia="Times New Roman" w:hAnsi="Arial" w:cs="Arial"/>
          <w:b/>
          <w:color w:val="365F91"/>
          <w:sz w:val="20"/>
          <w:szCs w:val="20"/>
          <w:lang w:val="en-GB" w:eastAsia="en-GB"/>
        </w:rPr>
      </w:pPr>
      <w:r w:rsidRPr="000A1DF6">
        <w:rPr>
          <w:rFonts w:ascii="Arial" w:eastAsia="Times New Roman" w:hAnsi="Arial" w:cs="Arial"/>
          <w:b/>
          <w:color w:val="365F91"/>
          <w:sz w:val="20"/>
          <w:szCs w:val="20"/>
          <w:lang w:val="en-GB" w:eastAsia="en-GB"/>
        </w:rPr>
        <w:t>Context and controller</w:t>
      </w:r>
    </w:p>
    <w:p w:rsidR="007E3B59" w:rsidRPr="000A1DF6" w:rsidRDefault="007E3B59" w:rsidP="007E3B59">
      <w:pPr>
        <w:pStyle w:val="ListParagraph"/>
        <w:keepNext/>
        <w:keepLines/>
        <w:spacing w:after="0" w:line="240" w:lineRule="auto"/>
        <w:jc w:val="both"/>
        <w:outlineLvl w:val="0"/>
        <w:rPr>
          <w:rFonts w:ascii="Arial" w:eastAsia="Times New Roman" w:hAnsi="Arial" w:cs="Arial"/>
          <w:b/>
          <w:color w:val="365F91"/>
          <w:sz w:val="20"/>
          <w:szCs w:val="20"/>
          <w:lang w:val="en-GB" w:eastAsia="en-GB"/>
        </w:rPr>
      </w:pPr>
    </w:p>
    <w:p w:rsidR="007E3B59" w:rsidRPr="000A1DF6" w:rsidRDefault="007E3B59" w:rsidP="007E3B59">
      <w:pPr>
        <w:keepNext/>
        <w:keepLines/>
        <w:spacing w:after="0" w:line="240" w:lineRule="auto"/>
        <w:jc w:val="both"/>
        <w:rPr>
          <w:rFonts w:ascii="Arial" w:hAnsi="Arial" w:cs="Arial"/>
          <w:sz w:val="20"/>
          <w:szCs w:val="20"/>
          <w:lang w:val="en-GB"/>
        </w:rPr>
      </w:pPr>
      <w:r w:rsidRPr="000A1DF6">
        <w:rPr>
          <w:rFonts w:ascii="Arial" w:hAnsi="Arial" w:cs="Arial"/>
          <w:sz w:val="20"/>
          <w:szCs w:val="20"/>
          <w:lang w:val="en-GB"/>
        </w:rPr>
        <w:t>When the Agency for the Cooperation of Energy Regulators (the “Agency”) processes personal data it is subject to Regulation (EC) No 45/2001 of the European Parliament and of the Council of 18 December 2000 on the protection of individuals with regard to the processing of personal data by the Community institutions and bodies and on the free movement of such data (“Regulation (EC) No 45/2001”).</w:t>
      </w:r>
    </w:p>
    <w:p w:rsidR="007E3B59" w:rsidRPr="000A1DF6" w:rsidRDefault="007E3B59" w:rsidP="007E3B59">
      <w:pPr>
        <w:keepNext/>
        <w:keepLines/>
        <w:spacing w:after="0" w:line="240" w:lineRule="auto"/>
        <w:jc w:val="both"/>
        <w:rPr>
          <w:rFonts w:ascii="Arial" w:hAnsi="Arial" w:cs="Arial"/>
          <w:sz w:val="20"/>
          <w:szCs w:val="20"/>
          <w:lang w:val="en-GB"/>
        </w:rPr>
      </w:pPr>
    </w:p>
    <w:p w:rsidR="007E3B59" w:rsidRPr="000A1DF6" w:rsidRDefault="007E3B59" w:rsidP="007E3B59">
      <w:pPr>
        <w:keepNext/>
        <w:keepLines/>
        <w:spacing w:after="0" w:line="240" w:lineRule="auto"/>
        <w:jc w:val="both"/>
        <w:rPr>
          <w:rFonts w:ascii="Arial" w:hAnsi="Arial" w:cs="Arial"/>
          <w:sz w:val="20"/>
          <w:szCs w:val="20"/>
          <w:lang w:val="en-GB"/>
        </w:rPr>
      </w:pPr>
      <w:r w:rsidRPr="000A1DF6">
        <w:rPr>
          <w:rFonts w:ascii="Arial" w:hAnsi="Arial" w:cs="Arial"/>
          <w:sz w:val="20"/>
          <w:szCs w:val="20"/>
          <w:lang w:val="en-GB"/>
        </w:rPr>
        <w:t>The CMT is an IT-tool through which the Agency and national regulatory authorities (“NRAs”) shall exchange information relating to potential breaches of Regulation (EU) No 1227/2011 of the European Parliament and the Council of 25 October 2011 on wholesale energy market integrity and transparency (“REMIT”).  In order for the Agency and NRAs to exchange information relating to potential breaches of REMIT (the “Case(s)”), a secure and reliable communication channel is needed.  The CMT is thought to be such a tool.</w:t>
      </w:r>
    </w:p>
    <w:p w:rsidR="007E3B59" w:rsidRPr="000A1DF6" w:rsidRDefault="007E3B59" w:rsidP="007E3B59">
      <w:pPr>
        <w:keepNext/>
        <w:keepLines/>
        <w:spacing w:after="0" w:line="240" w:lineRule="auto"/>
        <w:jc w:val="both"/>
        <w:rPr>
          <w:rFonts w:ascii="Arial" w:hAnsi="Arial" w:cs="Arial"/>
          <w:sz w:val="20"/>
          <w:szCs w:val="20"/>
          <w:lang w:val="en-GB"/>
        </w:rPr>
      </w:pPr>
    </w:p>
    <w:p w:rsidR="007E3B59" w:rsidRPr="000A1DF6" w:rsidRDefault="007E3B59" w:rsidP="007E3B59">
      <w:pPr>
        <w:keepNext/>
        <w:keepLines/>
        <w:spacing w:after="0" w:line="240" w:lineRule="auto"/>
        <w:jc w:val="both"/>
        <w:rPr>
          <w:rFonts w:ascii="Arial" w:hAnsi="Arial" w:cs="Arial"/>
          <w:sz w:val="20"/>
          <w:szCs w:val="20"/>
          <w:lang w:val="en-GB"/>
        </w:rPr>
      </w:pPr>
      <w:r w:rsidRPr="000A1DF6">
        <w:rPr>
          <w:rFonts w:ascii="Arial" w:hAnsi="Arial" w:cs="Arial"/>
          <w:sz w:val="20"/>
          <w:szCs w:val="20"/>
          <w:lang w:val="en-GB"/>
        </w:rPr>
        <w:t>Personal data will be processed in the context of the CMT.</w:t>
      </w:r>
    </w:p>
    <w:p w:rsidR="007E3B59" w:rsidRPr="000A1DF6" w:rsidRDefault="007E3B59" w:rsidP="007E3B59">
      <w:pPr>
        <w:keepNext/>
        <w:keepLines/>
        <w:spacing w:after="0" w:line="240" w:lineRule="auto"/>
        <w:jc w:val="both"/>
        <w:rPr>
          <w:rFonts w:ascii="Arial" w:hAnsi="Arial" w:cs="Arial"/>
          <w:sz w:val="20"/>
          <w:szCs w:val="20"/>
          <w:lang w:val="en-GB"/>
        </w:rPr>
      </w:pPr>
    </w:p>
    <w:p w:rsidR="007E3B59" w:rsidRPr="000A1DF6" w:rsidRDefault="007E3B59" w:rsidP="007E3B59">
      <w:pPr>
        <w:keepNext/>
        <w:keepLines/>
        <w:spacing w:after="0" w:line="240" w:lineRule="auto"/>
        <w:jc w:val="both"/>
        <w:rPr>
          <w:rFonts w:ascii="Arial" w:hAnsi="Arial" w:cs="Arial"/>
          <w:sz w:val="20"/>
          <w:szCs w:val="20"/>
          <w:lang w:val="en-GB"/>
        </w:rPr>
      </w:pPr>
      <w:r w:rsidRPr="000A1DF6">
        <w:rPr>
          <w:rFonts w:ascii="Arial" w:hAnsi="Arial" w:cs="Arial"/>
          <w:sz w:val="20"/>
          <w:szCs w:val="20"/>
          <w:lang w:val="en-GB"/>
        </w:rPr>
        <w:t xml:space="preserve">The Agency’s department in charge of processing of personal data is the Market </w:t>
      </w:r>
      <w:r>
        <w:rPr>
          <w:rFonts w:ascii="Arial" w:hAnsi="Arial" w:cs="Arial"/>
          <w:sz w:val="20"/>
          <w:szCs w:val="20"/>
          <w:lang w:val="en-GB"/>
        </w:rPr>
        <w:t>Surveillance and Conduct</w:t>
      </w:r>
      <w:r w:rsidRPr="000A1DF6">
        <w:rPr>
          <w:rFonts w:ascii="Arial" w:hAnsi="Arial" w:cs="Arial"/>
          <w:sz w:val="20"/>
          <w:szCs w:val="20"/>
          <w:lang w:val="en-GB"/>
        </w:rPr>
        <w:t xml:space="preserve"> Department.</w:t>
      </w:r>
    </w:p>
    <w:p w:rsidR="007E3B59" w:rsidRPr="000A1DF6" w:rsidRDefault="007E3B59" w:rsidP="007E3B59">
      <w:pPr>
        <w:keepNext/>
        <w:keepLines/>
        <w:spacing w:after="0" w:line="240" w:lineRule="auto"/>
        <w:jc w:val="both"/>
        <w:rPr>
          <w:rFonts w:ascii="Arial" w:hAnsi="Arial" w:cs="Arial"/>
          <w:sz w:val="20"/>
          <w:szCs w:val="20"/>
          <w:lang w:val="en-GB"/>
        </w:rPr>
      </w:pPr>
    </w:p>
    <w:p w:rsidR="007E3B59" w:rsidRPr="000A1DF6" w:rsidRDefault="007E3B59" w:rsidP="007E3B59">
      <w:pPr>
        <w:keepNext/>
        <w:keepLines/>
        <w:spacing w:after="0" w:line="240" w:lineRule="auto"/>
        <w:jc w:val="both"/>
        <w:rPr>
          <w:rFonts w:ascii="Arial" w:hAnsi="Arial" w:cs="Arial"/>
          <w:sz w:val="20"/>
          <w:szCs w:val="20"/>
          <w:lang w:val="en-GB"/>
        </w:rPr>
      </w:pPr>
      <w:r w:rsidRPr="000A1DF6">
        <w:rPr>
          <w:rFonts w:ascii="Arial" w:hAnsi="Arial" w:cs="Arial"/>
          <w:sz w:val="20"/>
          <w:szCs w:val="20"/>
          <w:lang w:val="en-GB"/>
        </w:rPr>
        <w:t xml:space="preserve">Contact details of the person in charge of the processing: </w:t>
      </w:r>
    </w:p>
    <w:p w:rsidR="007E3B59" w:rsidRPr="000A1DF6" w:rsidRDefault="007E3B59" w:rsidP="007E3B59">
      <w:pPr>
        <w:keepNext/>
        <w:keepLines/>
        <w:spacing w:after="0" w:line="240" w:lineRule="auto"/>
        <w:jc w:val="both"/>
        <w:rPr>
          <w:rFonts w:ascii="Arial" w:hAnsi="Arial" w:cs="Arial"/>
          <w:sz w:val="20"/>
          <w:szCs w:val="20"/>
          <w:lang w:val="en-GB"/>
        </w:rPr>
      </w:pPr>
      <w:r w:rsidRPr="000A1DF6">
        <w:rPr>
          <w:rFonts w:ascii="Arial" w:hAnsi="Arial" w:cs="Arial"/>
          <w:sz w:val="20"/>
          <w:szCs w:val="20"/>
          <w:lang w:val="en-GB"/>
        </w:rPr>
        <w:t xml:space="preserve">Mr </w:t>
      </w:r>
      <w:r>
        <w:rPr>
          <w:rFonts w:ascii="Arial" w:hAnsi="Arial" w:cs="Arial"/>
          <w:sz w:val="20"/>
          <w:szCs w:val="20"/>
          <w:lang w:val="en-GB"/>
        </w:rPr>
        <w:t>Martin Godfried</w:t>
      </w:r>
      <w:r w:rsidRPr="000A1DF6">
        <w:rPr>
          <w:rFonts w:ascii="Arial" w:hAnsi="Arial" w:cs="Arial"/>
          <w:sz w:val="20"/>
          <w:szCs w:val="20"/>
          <w:lang w:val="en-GB"/>
        </w:rPr>
        <w:t xml:space="preserve">, Head of </w:t>
      </w:r>
      <w:r w:rsidR="00C95DC4">
        <w:rPr>
          <w:rFonts w:ascii="Arial" w:hAnsi="Arial" w:cs="Arial"/>
          <w:sz w:val="20"/>
          <w:szCs w:val="20"/>
          <w:lang w:val="en-GB"/>
        </w:rPr>
        <w:t xml:space="preserve">the </w:t>
      </w:r>
      <w:r w:rsidRPr="000A1DF6">
        <w:rPr>
          <w:rFonts w:ascii="Arial" w:hAnsi="Arial" w:cs="Arial"/>
          <w:sz w:val="20"/>
          <w:szCs w:val="20"/>
          <w:lang w:val="en-GB"/>
        </w:rPr>
        <w:t xml:space="preserve">Market </w:t>
      </w:r>
      <w:r>
        <w:rPr>
          <w:rFonts w:ascii="Arial" w:hAnsi="Arial" w:cs="Arial"/>
          <w:sz w:val="20"/>
          <w:szCs w:val="20"/>
          <w:lang w:val="en-GB"/>
        </w:rPr>
        <w:t>Surveillance and Conduct</w:t>
      </w:r>
      <w:r w:rsidRPr="000A1DF6" w:rsidDel="00650D40">
        <w:rPr>
          <w:rFonts w:ascii="Arial" w:hAnsi="Arial" w:cs="Arial"/>
          <w:sz w:val="20"/>
          <w:szCs w:val="20"/>
          <w:lang w:val="en-GB"/>
        </w:rPr>
        <w:t xml:space="preserve"> </w:t>
      </w:r>
      <w:r w:rsidR="00CD1942">
        <w:rPr>
          <w:rFonts w:ascii="Arial" w:hAnsi="Arial" w:cs="Arial"/>
          <w:sz w:val="20"/>
          <w:szCs w:val="20"/>
          <w:lang w:val="en-GB"/>
        </w:rPr>
        <w:t>Department</w:t>
      </w:r>
      <w:bookmarkStart w:id="0" w:name="_GoBack"/>
      <w:bookmarkEnd w:id="0"/>
      <w:r w:rsidRPr="000A1DF6">
        <w:rPr>
          <w:rFonts w:ascii="Arial" w:hAnsi="Arial" w:cs="Arial"/>
          <w:sz w:val="20"/>
          <w:szCs w:val="20"/>
          <w:lang w:val="en-GB"/>
        </w:rPr>
        <w:t xml:space="preserve"> </w:t>
      </w:r>
    </w:p>
    <w:p w:rsidR="007E3B59" w:rsidRPr="000A1DF6" w:rsidRDefault="007E3B59" w:rsidP="007E3B59">
      <w:pPr>
        <w:keepNext/>
        <w:keepLines/>
        <w:spacing w:after="0" w:line="240" w:lineRule="auto"/>
        <w:jc w:val="both"/>
        <w:rPr>
          <w:rFonts w:ascii="Arial" w:hAnsi="Arial" w:cs="Arial"/>
          <w:sz w:val="20"/>
          <w:szCs w:val="20"/>
          <w:lang w:val="en-GB"/>
        </w:rPr>
      </w:pPr>
      <w:r w:rsidRPr="000A1DF6">
        <w:rPr>
          <w:rFonts w:ascii="Arial" w:hAnsi="Arial" w:cs="Arial"/>
          <w:sz w:val="20"/>
          <w:szCs w:val="20"/>
          <w:lang w:val="en-GB"/>
        </w:rPr>
        <w:t>Postal address: Agency for the Cooperation of Energy Regulators (ACER)</w:t>
      </w:r>
    </w:p>
    <w:p w:rsidR="007E3B59" w:rsidRPr="00BE13CA" w:rsidRDefault="007E3B59" w:rsidP="007E3B59">
      <w:pPr>
        <w:keepNext/>
        <w:keepLines/>
        <w:spacing w:after="0" w:line="240" w:lineRule="auto"/>
        <w:jc w:val="both"/>
        <w:rPr>
          <w:rFonts w:ascii="Arial" w:hAnsi="Arial" w:cs="Arial"/>
          <w:sz w:val="20"/>
          <w:szCs w:val="20"/>
          <w:lang w:val="it-IT"/>
        </w:rPr>
      </w:pPr>
      <w:r w:rsidRPr="00BE13CA">
        <w:rPr>
          <w:rFonts w:ascii="Arial" w:hAnsi="Arial" w:cs="Arial"/>
          <w:sz w:val="20"/>
          <w:szCs w:val="20"/>
          <w:lang w:val="it-IT"/>
        </w:rPr>
        <w:t>Trg republike 3</w:t>
      </w:r>
    </w:p>
    <w:p w:rsidR="007E3B59" w:rsidRPr="00BE13CA" w:rsidRDefault="007E3B59" w:rsidP="007E3B59">
      <w:pPr>
        <w:keepNext/>
        <w:keepLines/>
        <w:spacing w:after="0" w:line="240" w:lineRule="auto"/>
        <w:jc w:val="both"/>
        <w:rPr>
          <w:rFonts w:ascii="Arial" w:hAnsi="Arial" w:cs="Arial"/>
          <w:sz w:val="20"/>
          <w:szCs w:val="20"/>
          <w:lang w:val="it-IT"/>
        </w:rPr>
      </w:pPr>
      <w:r w:rsidRPr="00BE13CA">
        <w:rPr>
          <w:rFonts w:ascii="Arial" w:hAnsi="Arial" w:cs="Arial"/>
          <w:sz w:val="20"/>
          <w:szCs w:val="20"/>
          <w:lang w:val="it-IT"/>
        </w:rPr>
        <w:t>SI-1000 Ljubljana, Slovenia</w:t>
      </w:r>
    </w:p>
    <w:p w:rsidR="007E3B59" w:rsidRPr="00BE13CA" w:rsidRDefault="007E3B59" w:rsidP="007E3B59">
      <w:pPr>
        <w:keepNext/>
        <w:keepLines/>
        <w:spacing w:after="0" w:line="240" w:lineRule="auto"/>
        <w:jc w:val="both"/>
        <w:rPr>
          <w:rFonts w:ascii="Arial" w:hAnsi="Arial" w:cs="Arial"/>
          <w:sz w:val="20"/>
          <w:szCs w:val="20"/>
          <w:lang w:val="it-IT"/>
        </w:rPr>
      </w:pPr>
      <w:r w:rsidRPr="00BE13CA">
        <w:rPr>
          <w:rFonts w:ascii="Arial" w:hAnsi="Arial" w:cs="Arial"/>
          <w:sz w:val="20"/>
          <w:szCs w:val="20"/>
          <w:lang w:val="it-IT"/>
        </w:rPr>
        <w:t xml:space="preserve">E-mail: </w:t>
      </w:r>
      <w:hyperlink r:id="rId5" w:history="1">
        <w:r w:rsidRPr="00BE13CA">
          <w:rPr>
            <w:rStyle w:val="Hyperlink"/>
            <w:rFonts w:ascii="Arial" w:hAnsi="Arial" w:cs="Arial"/>
            <w:sz w:val="20"/>
            <w:szCs w:val="20"/>
            <w:lang w:val="it-IT"/>
          </w:rPr>
          <w:t>market.conduct@acer.europa.eu</w:t>
        </w:r>
      </w:hyperlink>
      <w:r w:rsidRPr="00BE13CA">
        <w:rPr>
          <w:rFonts w:ascii="Arial" w:hAnsi="Arial" w:cs="Arial"/>
          <w:sz w:val="20"/>
          <w:szCs w:val="20"/>
          <w:lang w:val="it-IT"/>
        </w:rPr>
        <w:t xml:space="preserve">   </w:t>
      </w:r>
    </w:p>
    <w:p w:rsidR="007E3B59" w:rsidRPr="00BE13CA" w:rsidRDefault="007E3B59" w:rsidP="007E3B59">
      <w:pPr>
        <w:keepNext/>
        <w:keepLines/>
        <w:spacing w:after="0" w:line="240" w:lineRule="auto"/>
        <w:jc w:val="both"/>
        <w:rPr>
          <w:rFonts w:ascii="Arial" w:hAnsi="Arial" w:cs="Arial"/>
          <w:sz w:val="20"/>
          <w:szCs w:val="20"/>
          <w:lang w:val="it-IT"/>
        </w:rPr>
      </w:pPr>
    </w:p>
    <w:p w:rsidR="007E3B59" w:rsidRPr="000A1DF6" w:rsidRDefault="007E3B59" w:rsidP="007E3B59">
      <w:pPr>
        <w:pStyle w:val="ListParagraph"/>
        <w:keepNext/>
        <w:keepLines/>
        <w:numPr>
          <w:ilvl w:val="0"/>
          <w:numId w:val="1"/>
        </w:numPr>
        <w:spacing w:after="0" w:line="240" w:lineRule="auto"/>
        <w:jc w:val="both"/>
        <w:outlineLvl w:val="0"/>
        <w:rPr>
          <w:rFonts w:ascii="Arial" w:eastAsia="Times New Roman" w:hAnsi="Arial" w:cs="Arial"/>
          <w:b/>
          <w:color w:val="365F91"/>
          <w:sz w:val="20"/>
          <w:szCs w:val="20"/>
          <w:lang w:val="en-GB" w:eastAsia="en-GB"/>
        </w:rPr>
      </w:pPr>
      <w:r w:rsidRPr="000A1DF6">
        <w:rPr>
          <w:rFonts w:ascii="Arial" w:eastAsia="Times New Roman" w:hAnsi="Arial" w:cs="Arial"/>
          <w:b/>
          <w:color w:val="365F91"/>
          <w:sz w:val="20"/>
          <w:szCs w:val="20"/>
          <w:lang w:val="en-GB" w:eastAsia="en-GB"/>
        </w:rPr>
        <w:t xml:space="preserve">What personal information do we collect, for what purpose, and under which legal bases? </w:t>
      </w:r>
    </w:p>
    <w:p w:rsidR="007E3B59" w:rsidRPr="000A1DF6" w:rsidRDefault="007E3B59" w:rsidP="007E3B59">
      <w:pPr>
        <w:pStyle w:val="ListParagraph"/>
        <w:keepNext/>
        <w:keepLines/>
        <w:spacing w:after="0" w:line="240" w:lineRule="auto"/>
        <w:jc w:val="both"/>
        <w:outlineLvl w:val="0"/>
        <w:rPr>
          <w:rFonts w:ascii="Arial" w:eastAsia="Times New Roman" w:hAnsi="Arial" w:cs="Arial"/>
          <w:b/>
          <w:color w:val="365F91"/>
          <w:sz w:val="20"/>
          <w:szCs w:val="20"/>
          <w:lang w:val="en-GB" w:eastAsia="en-GB"/>
        </w:rPr>
      </w:pPr>
    </w:p>
    <w:p w:rsidR="007E3B59" w:rsidRPr="000A1DF6" w:rsidRDefault="007E3B59" w:rsidP="007E3B59">
      <w:pPr>
        <w:keepNext/>
        <w:keepLines/>
        <w:spacing w:after="0" w:line="240" w:lineRule="auto"/>
        <w:jc w:val="both"/>
        <w:outlineLvl w:val="0"/>
        <w:rPr>
          <w:rFonts w:ascii="Arial" w:eastAsia="Times New Roman" w:hAnsi="Arial" w:cs="Arial"/>
          <w:b/>
          <w:color w:val="365F91"/>
          <w:sz w:val="20"/>
          <w:szCs w:val="20"/>
          <w:lang w:val="en-GB" w:eastAsia="en-GB"/>
        </w:rPr>
      </w:pPr>
      <w:r w:rsidRPr="000A1DF6">
        <w:rPr>
          <w:rFonts w:ascii="Arial" w:eastAsia="Times New Roman" w:hAnsi="Arial" w:cs="Arial"/>
          <w:b/>
          <w:color w:val="365F91"/>
          <w:sz w:val="20"/>
          <w:szCs w:val="20"/>
          <w:lang w:val="en-GB" w:eastAsia="en-GB"/>
        </w:rPr>
        <w:t>Types of personal data</w:t>
      </w:r>
    </w:p>
    <w:p w:rsidR="007E3B59" w:rsidRPr="000A1DF6" w:rsidRDefault="007E3B59" w:rsidP="007E3B59">
      <w:pPr>
        <w:keepNext/>
        <w:keepLines/>
        <w:spacing w:after="0" w:line="240" w:lineRule="auto"/>
        <w:jc w:val="both"/>
        <w:rPr>
          <w:rFonts w:ascii="Arial" w:hAnsi="Arial" w:cs="Arial"/>
          <w:sz w:val="20"/>
          <w:szCs w:val="20"/>
          <w:lang w:val="en-GB"/>
        </w:rPr>
      </w:pPr>
      <w:r w:rsidRPr="000A1DF6">
        <w:rPr>
          <w:rFonts w:ascii="Arial" w:hAnsi="Arial" w:cs="Arial"/>
          <w:sz w:val="20"/>
          <w:szCs w:val="20"/>
          <w:lang w:val="en-GB"/>
        </w:rPr>
        <w:t>The Agency will process the following personal data of NRAs’ staff members authorised to use the CMT and of the Agency’s staff members assigned to treatment of the Cases:</w:t>
      </w:r>
    </w:p>
    <w:p w:rsidR="007E3B59" w:rsidRPr="000A1DF6" w:rsidRDefault="007E3B59" w:rsidP="007E3B59">
      <w:pPr>
        <w:keepNext/>
        <w:keepLines/>
        <w:spacing w:after="0" w:line="240" w:lineRule="auto"/>
        <w:jc w:val="both"/>
        <w:rPr>
          <w:rFonts w:ascii="Arial" w:hAnsi="Arial" w:cs="Arial"/>
          <w:sz w:val="20"/>
          <w:szCs w:val="20"/>
          <w:lang w:val="en-GB"/>
        </w:rPr>
      </w:pPr>
    </w:p>
    <w:p w:rsidR="007E3B59" w:rsidRPr="000A1DF6" w:rsidRDefault="007E3B59" w:rsidP="007E3B59">
      <w:pPr>
        <w:pStyle w:val="ListParagraph"/>
        <w:keepNext/>
        <w:keepLines/>
        <w:numPr>
          <w:ilvl w:val="0"/>
          <w:numId w:val="3"/>
        </w:numPr>
        <w:spacing w:after="0" w:line="240" w:lineRule="auto"/>
        <w:jc w:val="both"/>
        <w:rPr>
          <w:rFonts w:ascii="Arial" w:hAnsi="Arial" w:cs="Arial"/>
          <w:sz w:val="20"/>
          <w:szCs w:val="20"/>
          <w:lang w:val="en-GB"/>
        </w:rPr>
      </w:pPr>
      <w:r w:rsidRPr="000A1DF6">
        <w:rPr>
          <w:rFonts w:ascii="Arial" w:hAnsi="Arial" w:cs="Arial"/>
          <w:sz w:val="20"/>
          <w:szCs w:val="20"/>
          <w:lang w:val="en-GB"/>
        </w:rPr>
        <w:t>Full name of the staff member;</w:t>
      </w:r>
    </w:p>
    <w:p w:rsidR="007E3B59" w:rsidRPr="000A1DF6" w:rsidRDefault="007E3B59" w:rsidP="007E3B59">
      <w:pPr>
        <w:pStyle w:val="ListParagraph"/>
        <w:keepNext/>
        <w:keepLines/>
        <w:numPr>
          <w:ilvl w:val="0"/>
          <w:numId w:val="3"/>
        </w:numPr>
        <w:spacing w:after="0" w:line="240" w:lineRule="auto"/>
        <w:jc w:val="both"/>
        <w:rPr>
          <w:rFonts w:ascii="Arial" w:hAnsi="Arial" w:cs="Arial"/>
          <w:sz w:val="20"/>
          <w:szCs w:val="20"/>
          <w:lang w:val="en-GB"/>
        </w:rPr>
      </w:pPr>
      <w:r w:rsidRPr="000A1DF6">
        <w:rPr>
          <w:rFonts w:ascii="Arial" w:hAnsi="Arial" w:cs="Arial"/>
          <w:sz w:val="20"/>
          <w:szCs w:val="20"/>
          <w:lang w:val="en-GB"/>
        </w:rPr>
        <w:t>Organisation concerned;</w:t>
      </w:r>
    </w:p>
    <w:p w:rsidR="007E3B59" w:rsidRPr="000A1DF6" w:rsidRDefault="007E3B59" w:rsidP="007E3B59">
      <w:pPr>
        <w:pStyle w:val="ListParagraph"/>
        <w:keepNext/>
        <w:keepLines/>
        <w:numPr>
          <w:ilvl w:val="0"/>
          <w:numId w:val="3"/>
        </w:numPr>
        <w:spacing w:after="0" w:line="240" w:lineRule="auto"/>
        <w:jc w:val="both"/>
        <w:rPr>
          <w:rFonts w:ascii="Arial" w:hAnsi="Arial" w:cs="Arial"/>
          <w:sz w:val="20"/>
          <w:szCs w:val="20"/>
          <w:lang w:val="en-GB"/>
        </w:rPr>
      </w:pPr>
      <w:r w:rsidRPr="000A1DF6">
        <w:rPr>
          <w:rFonts w:ascii="Arial" w:hAnsi="Arial" w:cs="Arial"/>
          <w:sz w:val="20"/>
          <w:szCs w:val="20"/>
          <w:lang w:val="en-GB"/>
        </w:rPr>
        <w:t>Professional title of the staff member;</w:t>
      </w:r>
    </w:p>
    <w:p w:rsidR="007E3B59" w:rsidRPr="000A1DF6" w:rsidRDefault="007E3B59" w:rsidP="007E3B59">
      <w:pPr>
        <w:pStyle w:val="ListParagraph"/>
        <w:keepNext/>
        <w:keepLines/>
        <w:numPr>
          <w:ilvl w:val="0"/>
          <w:numId w:val="3"/>
        </w:numPr>
        <w:spacing w:after="0" w:line="240" w:lineRule="auto"/>
        <w:jc w:val="both"/>
        <w:rPr>
          <w:rFonts w:ascii="Arial" w:hAnsi="Arial" w:cs="Arial"/>
          <w:sz w:val="20"/>
          <w:szCs w:val="20"/>
          <w:lang w:val="en-GB"/>
        </w:rPr>
      </w:pPr>
      <w:r w:rsidRPr="000A1DF6">
        <w:rPr>
          <w:rFonts w:ascii="Arial" w:hAnsi="Arial" w:cs="Arial"/>
          <w:sz w:val="20"/>
          <w:szCs w:val="20"/>
          <w:lang w:val="en-GB"/>
        </w:rPr>
        <w:t>Function in relation to the CMT/the particular Case;</w:t>
      </w:r>
    </w:p>
    <w:p w:rsidR="007E3B59" w:rsidRPr="000A1DF6" w:rsidRDefault="007E3B59" w:rsidP="007E3B59">
      <w:pPr>
        <w:pStyle w:val="ListParagraph"/>
        <w:keepNext/>
        <w:keepLines/>
        <w:numPr>
          <w:ilvl w:val="0"/>
          <w:numId w:val="3"/>
        </w:numPr>
        <w:spacing w:after="0" w:line="240" w:lineRule="auto"/>
        <w:jc w:val="both"/>
        <w:rPr>
          <w:rFonts w:ascii="Arial" w:hAnsi="Arial" w:cs="Arial"/>
          <w:sz w:val="20"/>
          <w:szCs w:val="20"/>
          <w:lang w:val="en-GB"/>
        </w:rPr>
      </w:pPr>
      <w:r w:rsidRPr="000A1DF6">
        <w:rPr>
          <w:rFonts w:ascii="Arial" w:hAnsi="Arial" w:cs="Arial"/>
          <w:sz w:val="20"/>
          <w:szCs w:val="20"/>
          <w:lang w:val="en-GB"/>
        </w:rPr>
        <w:t>Contact details of the staff member (Business Address, Phone and Email).</w:t>
      </w:r>
    </w:p>
    <w:p w:rsidR="007E3B59" w:rsidRPr="000A1DF6" w:rsidRDefault="007E3B59" w:rsidP="007E3B59">
      <w:pPr>
        <w:pStyle w:val="ListParagraph"/>
        <w:keepNext/>
        <w:keepLines/>
        <w:spacing w:after="0" w:line="240" w:lineRule="auto"/>
        <w:jc w:val="both"/>
        <w:rPr>
          <w:rFonts w:ascii="Arial" w:hAnsi="Arial" w:cs="Arial"/>
          <w:sz w:val="20"/>
          <w:szCs w:val="20"/>
          <w:lang w:val="en-GB"/>
        </w:rPr>
      </w:pPr>
    </w:p>
    <w:p w:rsidR="007E3B59" w:rsidRPr="000A1DF6" w:rsidRDefault="007E3B59" w:rsidP="007E3B59">
      <w:pPr>
        <w:keepNext/>
        <w:keepLines/>
        <w:spacing w:after="0" w:line="240" w:lineRule="auto"/>
        <w:jc w:val="both"/>
        <w:outlineLvl w:val="0"/>
        <w:rPr>
          <w:rFonts w:ascii="Arial" w:eastAsia="Times New Roman" w:hAnsi="Arial" w:cs="Arial"/>
          <w:b/>
          <w:color w:val="365F91"/>
          <w:sz w:val="20"/>
          <w:szCs w:val="20"/>
          <w:lang w:val="en-GB" w:eastAsia="en-GB"/>
        </w:rPr>
      </w:pPr>
      <w:r w:rsidRPr="000A1DF6">
        <w:rPr>
          <w:rFonts w:ascii="Arial" w:eastAsia="Times New Roman" w:hAnsi="Arial" w:cs="Arial"/>
          <w:b/>
          <w:color w:val="365F91"/>
          <w:sz w:val="20"/>
          <w:szCs w:val="20"/>
          <w:lang w:val="en-GB" w:eastAsia="en-GB"/>
        </w:rPr>
        <w:t>Purpose</w:t>
      </w:r>
    </w:p>
    <w:p w:rsidR="007E3B59" w:rsidRPr="000A1DF6" w:rsidRDefault="007E3B59" w:rsidP="007E3B59">
      <w:pPr>
        <w:keepNext/>
        <w:keepLines/>
        <w:spacing w:after="0" w:line="240" w:lineRule="auto"/>
        <w:jc w:val="both"/>
        <w:outlineLvl w:val="0"/>
        <w:rPr>
          <w:rFonts w:ascii="Arial" w:hAnsi="Arial" w:cs="Arial"/>
          <w:sz w:val="20"/>
          <w:szCs w:val="20"/>
          <w:lang w:val="en-GB"/>
        </w:rPr>
      </w:pPr>
      <w:r w:rsidRPr="000A1DF6">
        <w:rPr>
          <w:rFonts w:ascii="Arial" w:hAnsi="Arial" w:cs="Arial"/>
          <w:sz w:val="20"/>
          <w:szCs w:val="20"/>
          <w:lang w:val="en-GB"/>
        </w:rPr>
        <w:t>The purpose of the processing is compliance with the tasks entrusted to the Agency in REMIT.  More specifically, the processing of personal data of NRAs’ and Agency’s staff members is necessary for effective use of the CMT and treatment of the Cases.</w:t>
      </w:r>
    </w:p>
    <w:p w:rsidR="007E3B59" w:rsidRPr="000A1DF6" w:rsidRDefault="007E3B59" w:rsidP="007E3B59">
      <w:pPr>
        <w:keepNext/>
        <w:keepLines/>
        <w:spacing w:after="0" w:line="240" w:lineRule="auto"/>
        <w:jc w:val="both"/>
        <w:outlineLvl w:val="0"/>
        <w:rPr>
          <w:rFonts w:ascii="Arial" w:eastAsia="Times New Roman" w:hAnsi="Arial" w:cs="Arial"/>
          <w:bCs/>
          <w:sz w:val="20"/>
          <w:szCs w:val="20"/>
        </w:rPr>
      </w:pPr>
    </w:p>
    <w:p w:rsidR="007E3B59" w:rsidRPr="000A1DF6" w:rsidRDefault="007E3B59" w:rsidP="007E3B59">
      <w:pPr>
        <w:keepNext/>
        <w:keepLines/>
        <w:spacing w:after="0" w:line="240" w:lineRule="auto"/>
        <w:jc w:val="both"/>
        <w:outlineLvl w:val="0"/>
        <w:rPr>
          <w:rFonts w:ascii="Arial" w:eastAsia="Times New Roman" w:hAnsi="Arial" w:cs="Arial"/>
          <w:b/>
          <w:color w:val="365F91"/>
          <w:sz w:val="20"/>
          <w:szCs w:val="20"/>
          <w:lang w:val="en-GB" w:eastAsia="en-GB"/>
        </w:rPr>
      </w:pPr>
      <w:r w:rsidRPr="000A1DF6">
        <w:rPr>
          <w:rFonts w:ascii="Arial" w:eastAsia="Times New Roman" w:hAnsi="Arial" w:cs="Arial"/>
          <w:b/>
          <w:color w:val="365F91"/>
          <w:sz w:val="20"/>
          <w:szCs w:val="20"/>
          <w:lang w:val="en-GB" w:eastAsia="en-GB"/>
        </w:rPr>
        <w:t>Legal bases</w:t>
      </w:r>
    </w:p>
    <w:p w:rsidR="007E3B59" w:rsidRPr="000A1DF6" w:rsidRDefault="007E3B59" w:rsidP="007E3B59">
      <w:pPr>
        <w:keepNext/>
        <w:keepLines/>
        <w:spacing w:after="0" w:line="240" w:lineRule="auto"/>
        <w:jc w:val="both"/>
        <w:outlineLvl w:val="0"/>
        <w:rPr>
          <w:rFonts w:ascii="Arial" w:hAnsi="Arial" w:cs="Arial"/>
          <w:sz w:val="20"/>
          <w:szCs w:val="20"/>
          <w:lang w:val="en-GB"/>
        </w:rPr>
      </w:pPr>
      <w:r w:rsidRPr="000A1DF6">
        <w:rPr>
          <w:rFonts w:ascii="Arial" w:hAnsi="Arial" w:cs="Arial"/>
          <w:sz w:val="20"/>
          <w:szCs w:val="20"/>
          <w:lang w:val="en-GB"/>
        </w:rPr>
        <w:t xml:space="preserve">In line with Article 5 (a) of Regulation (EC) No 45/2001, the processing is necessary for the performance of a task carried out by the Agency in the public interest, on the basis of REMIT. </w:t>
      </w:r>
    </w:p>
    <w:p w:rsidR="007E3B59" w:rsidRPr="000A1DF6" w:rsidRDefault="007E3B59" w:rsidP="007E3B59">
      <w:pPr>
        <w:keepNext/>
        <w:keepLines/>
        <w:spacing w:after="0" w:line="240" w:lineRule="auto"/>
        <w:jc w:val="both"/>
        <w:outlineLvl w:val="0"/>
        <w:rPr>
          <w:rFonts w:ascii="Arial" w:hAnsi="Arial" w:cs="Arial"/>
          <w:sz w:val="20"/>
          <w:szCs w:val="20"/>
          <w:lang w:val="en-GB"/>
        </w:rPr>
      </w:pPr>
    </w:p>
    <w:p w:rsidR="007E3B59" w:rsidRPr="000A1DF6" w:rsidRDefault="007E3B59" w:rsidP="007E3B59">
      <w:pPr>
        <w:pStyle w:val="ListParagraph"/>
        <w:keepNext/>
        <w:keepLines/>
        <w:numPr>
          <w:ilvl w:val="0"/>
          <w:numId w:val="1"/>
        </w:numPr>
        <w:spacing w:after="0" w:line="240" w:lineRule="auto"/>
        <w:jc w:val="both"/>
        <w:outlineLvl w:val="0"/>
        <w:rPr>
          <w:rFonts w:ascii="Arial" w:eastAsia="Times New Roman" w:hAnsi="Arial" w:cs="Arial"/>
          <w:b/>
          <w:color w:val="365F91"/>
          <w:sz w:val="20"/>
          <w:szCs w:val="20"/>
          <w:lang w:val="en-GB" w:eastAsia="en-GB"/>
        </w:rPr>
      </w:pPr>
      <w:r w:rsidRPr="000A1DF6">
        <w:rPr>
          <w:rFonts w:ascii="Arial" w:eastAsia="Times New Roman" w:hAnsi="Arial" w:cs="Arial"/>
          <w:b/>
          <w:color w:val="365F91"/>
          <w:sz w:val="20"/>
          <w:szCs w:val="20"/>
          <w:lang w:val="en-GB" w:eastAsia="en-GB"/>
        </w:rPr>
        <w:t xml:space="preserve">Who has access to your personal data, to whom is it disclosed, and for how long is it stored? </w:t>
      </w:r>
    </w:p>
    <w:p w:rsidR="007E3B59" w:rsidRPr="000A1DF6" w:rsidRDefault="007E3B59" w:rsidP="007E3B59">
      <w:pPr>
        <w:pStyle w:val="ListParagraph"/>
        <w:keepNext/>
        <w:keepLines/>
        <w:spacing w:after="0" w:line="240" w:lineRule="auto"/>
        <w:jc w:val="both"/>
        <w:outlineLvl w:val="0"/>
        <w:rPr>
          <w:rFonts w:ascii="Arial" w:eastAsia="Times New Roman" w:hAnsi="Arial" w:cs="Arial"/>
          <w:b/>
          <w:color w:val="365F91"/>
          <w:sz w:val="20"/>
          <w:szCs w:val="20"/>
          <w:lang w:val="en-GB" w:eastAsia="en-GB"/>
        </w:rPr>
      </w:pPr>
    </w:p>
    <w:p w:rsidR="007E3B59" w:rsidRPr="000A1DF6" w:rsidRDefault="007E3B59" w:rsidP="007E3B59">
      <w:pPr>
        <w:keepNext/>
        <w:keepLines/>
        <w:spacing w:after="0" w:line="240" w:lineRule="auto"/>
        <w:jc w:val="both"/>
        <w:rPr>
          <w:rFonts w:ascii="Arial" w:hAnsi="Arial" w:cs="Arial"/>
          <w:sz w:val="20"/>
          <w:szCs w:val="20"/>
          <w:lang w:val="en-GB"/>
        </w:rPr>
      </w:pPr>
      <w:r w:rsidRPr="000A1DF6">
        <w:rPr>
          <w:rFonts w:ascii="Arial" w:hAnsi="Arial" w:cs="Arial"/>
          <w:sz w:val="20"/>
          <w:szCs w:val="20"/>
          <w:lang w:val="en-GB"/>
        </w:rPr>
        <w:t xml:space="preserve">In line with the purposes of data processing, and depending on the peculiarities of the Case at stake, personal data in the CMT might be disclosed to the following recipients or categories of recipients: </w:t>
      </w:r>
    </w:p>
    <w:p w:rsidR="007E3B59" w:rsidRPr="000A1DF6" w:rsidRDefault="007E3B59" w:rsidP="007E3B59">
      <w:pPr>
        <w:keepNext/>
        <w:keepLines/>
        <w:spacing w:after="0" w:line="240" w:lineRule="auto"/>
        <w:jc w:val="both"/>
        <w:rPr>
          <w:rFonts w:ascii="Arial" w:hAnsi="Arial" w:cs="Arial"/>
          <w:sz w:val="20"/>
          <w:szCs w:val="20"/>
          <w:lang w:val="en-GB"/>
        </w:rPr>
      </w:pPr>
    </w:p>
    <w:p w:rsidR="007E3B59" w:rsidRPr="000A1DF6" w:rsidRDefault="007E3B59" w:rsidP="007E3B59">
      <w:pPr>
        <w:pStyle w:val="ListParagraph"/>
        <w:keepNext/>
        <w:keepLines/>
        <w:numPr>
          <w:ilvl w:val="1"/>
          <w:numId w:val="4"/>
        </w:numPr>
        <w:spacing w:after="0" w:line="240" w:lineRule="auto"/>
        <w:ind w:left="1168" w:hanging="425"/>
        <w:jc w:val="both"/>
        <w:rPr>
          <w:rFonts w:ascii="Arial" w:hAnsi="Arial" w:cs="Arial"/>
          <w:sz w:val="20"/>
          <w:szCs w:val="20"/>
          <w:lang w:val="en-GB"/>
        </w:rPr>
      </w:pPr>
      <w:r w:rsidRPr="000A1DF6">
        <w:rPr>
          <w:rFonts w:ascii="Arial" w:hAnsi="Arial" w:cs="Arial"/>
          <w:sz w:val="20"/>
          <w:szCs w:val="20"/>
          <w:lang w:val="en-GB"/>
        </w:rPr>
        <w:t>Authorised staff from the NRAs (Case Handler, his/her hierarchy, Liaison Officer, Functional Administrator);</w:t>
      </w:r>
    </w:p>
    <w:p w:rsidR="007E3B59" w:rsidRPr="000A1DF6" w:rsidRDefault="007E3B59" w:rsidP="007E3B59">
      <w:pPr>
        <w:pStyle w:val="ListParagraph"/>
        <w:keepNext/>
        <w:keepLines/>
        <w:spacing w:after="0" w:line="240" w:lineRule="auto"/>
        <w:jc w:val="both"/>
        <w:rPr>
          <w:rFonts w:ascii="Arial" w:hAnsi="Arial" w:cs="Arial"/>
          <w:sz w:val="20"/>
          <w:szCs w:val="20"/>
          <w:lang w:val="en-GB"/>
        </w:rPr>
      </w:pPr>
    </w:p>
    <w:p w:rsidR="007E3B59" w:rsidRPr="000A1DF6" w:rsidRDefault="007E3B59" w:rsidP="007E3B59">
      <w:pPr>
        <w:pStyle w:val="ListParagraph"/>
        <w:keepNext/>
        <w:keepLines/>
        <w:numPr>
          <w:ilvl w:val="1"/>
          <w:numId w:val="4"/>
        </w:numPr>
        <w:spacing w:after="0" w:line="240" w:lineRule="auto"/>
        <w:ind w:left="1168" w:hanging="425"/>
        <w:jc w:val="both"/>
        <w:rPr>
          <w:rFonts w:ascii="Arial" w:hAnsi="Arial" w:cs="Arial"/>
          <w:sz w:val="20"/>
          <w:szCs w:val="20"/>
          <w:lang w:val="en-GB"/>
        </w:rPr>
      </w:pPr>
      <w:r w:rsidRPr="000A1DF6">
        <w:rPr>
          <w:rFonts w:ascii="Arial" w:hAnsi="Arial" w:cs="Arial"/>
          <w:sz w:val="20"/>
          <w:szCs w:val="20"/>
          <w:lang w:val="en-GB"/>
        </w:rPr>
        <w:lastRenderedPageBreak/>
        <w:t xml:space="preserve">Authorised staff of the Agency working at the Market </w:t>
      </w:r>
      <w:r>
        <w:rPr>
          <w:rFonts w:ascii="Arial" w:hAnsi="Arial" w:cs="Arial"/>
          <w:sz w:val="20"/>
          <w:szCs w:val="20"/>
          <w:lang w:val="en-GB"/>
        </w:rPr>
        <w:t>Surveillance and Conduct</w:t>
      </w:r>
      <w:r w:rsidRPr="000A1DF6">
        <w:rPr>
          <w:rFonts w:ascii="Arial" w:hAnsi="Arial" w:cs="Arial"/>
          <w:sz w:val="20"/>
          <w:szCs w:val="20"/>
          <w:lang w:val="en-GB"/>
        </w:rPr>
        <w:t xml:space="preserve"> Department, the Head of the Market </w:t>
      </w:r>
      <w:r>
        <w:rPr>
          <w:rFonts w:ascii="Arial" w:hAnsi="Arial" w:cs="Arial"/>
          <w:sz w:val="20"/>
          <w:szCs w:val="20"/>
          <w:lang w:val="en-GB"/>
        </w:rPr>
        <w:t>Surveillance and Conduct</w:t>
      </w:r>
      <w:r w:rsidRPr="000A1DF6">
        <w:rPr>
          <w:rFonts w:ascii="Arial" w:hAnsi="Arial" w:cs="Arial"/>
          <w:sz w:val="20"/>
          <w:szCs w:val="20"/>
          <w:lang w:val="en-GB"/>
        </w:rPr>
        <w:t xml:space="preserve"> Department and the Agency’s Director;</w:t>
      </w:r>
    </w:p>
    <w:p w:rsidR="007E3B59" w:rsidRPr="000A1DF6" w:rsidRDefault="007E3B59" w:rsidP="007E3B59">
      <w:pPr>
        <w:pStyle w:val="ListParagraph"/>
        <w:keepNext/>
        <w:keepLines/>
        <w:spacing w:after="0" w:line="240" w:lineRule="auto"/>
        <w:jc w:val="both"/>
        <w:rPr>
          <w:rFonts w:ascii="Arial" w:hAnsi="Arial" w:cs="Arial"/>
          <w:sz w:val="20"/>
          <w:szCs w:val="20"/>
          <w:lang w:val="en-GB"/>
        </w:rPr>
      </w:pPr>
    </w:p>
    <w:p w:rsidR="007E3B59" w:rsidRPr="000A1DF6" w:rsidRDefault="007E3B59" w:rsidP="007E3B59">
      <w:pPr>
        <w:pStyle w:val="ListParagraph"/>
        <w:keepNext/>
        <w:keepLines/>
        <w:numPr>
          <w:ilvl w:val="1"/>
          <w:numId w:val="4"/>
        </w:numPr>
        <w:spacing w:after="0" w:line="240" w:lineRule="auto"/>
        <w:ind w:left="1168" w:hanging="425"/>
        <w:jc w:val="both"/>
        <w:rPr>
          <w:rFonts w:ascii="Arial" w:hAnsi="Arial" w:cs="Arial"/>
          <w:sz w:val="20"/>
          <w:szCs w:val="20"/>
          <w:lang w:val="en-GB"/>
        </w:rPr>
      </w:pPr>
      <w:r w:rsidRPr="000A1DF6">
        <w:rPr>
          <w:rFonts w:ascii="Arial" w:hAnsi="Arial" w:cs="Arial"/>
          <w:sz w:val="20"/>
          <w:szCs w:val="20"/>
          <w:lang w:val="en-GB"/>
        </w:rPr>
        <w:t>Other competent authorities with which the Agency or NRAs are required to cooperate pursuant to REMIT :</w:t>
      </w:r>
    </w:p>
    <w:p w:rsidR="007E3B59" w:rsidRPr="000A1DF6" w:rsidRDefault="007E3B59" w:rsidP="007E3B59">
      <w:pPr>
        <w:pStyle w:val="ListParagraph"/>
        <w:keepNext/>
        <w:keepLines/>
        <w:numPr>
          <w:ilvl w:val="2"/>
          <w:numId w:val="4"/>
        </w:numPr>
        <w:spacing w:after="0" w:line="240" w:lineRule="auto"/>
        <w:jc w:val="both"/>
        <w:rPr>
          <w:rFonts w:ascii="Arial" w:hAnsi="Arial" w:cs="Arial"/>
          <w:sz w:val="20"/>
          <w:szCs w:val="20"/>
          <w:lang w:val="en-GB"/>
        </w:rPr>
      </w:pPr>
      <w:r w:rsidRPr="000A1DF6">
        <w:rPr>
          <w:rFonts w:ascii="Arial" w:hAnsi="Arial" w:cs="Arial"/>
          <w:sz w:val="20"/>
          <w:szCs w:val="20"/>
          <w:lang w:val="en-GB"/>
        </w:rPr>
        <w:t>Competent financial authorities (Article 16(3)(a) and (b) of REMIT);</w:t>
      </w:r>
    </w:p>
    <w:p w:rsidR="007E3B59" w:rsidRPr="000A1DF6" w:rsidRDefault="007E3B59" w:rsidP="007E3B59">
      <w:pPr>
        <w:pStyle w:val="ListParagraph"/>
        <w:keepNext/>
        <w:keepLines/>
        <w:numPr>
          <w:ilvl w:val="2"/>
          <w:numId w:val="4"/>
        </w:numPr>
        <w:spacing w:after="0" w:line="240" w:lineRule="auto"/>
        <w:jc w:val="both"/>
        <w:rPr>
          <w:rFonts w:ascii="Arial" w:hAnsi="Arial" w:cs="Arial"/>
          <w:sz w:val="20"/>
          <w:szCs w:val="20"/>
          <w:lang w:val="en-GB"/>
        </w:rPr>
      </w:pPr>
      <w:r w:rsidRPr="000A1DF6">
        <w:rPr>
          <w:rFonts w:ascii="Arial" w:hAnsi="Arial" w:cs="Arial"/>
          <w:sz w:val="20"/>
          <w:szCs w:val="20"/>
          <w:lang w:val="en-GB"/>
        </w:rPr>
        <w:t>The European Securities and Markets Agency (ESMA) (Article 16(3)(b) of REMIT);</w:t>
      </w:r>
    </w:p>
    <w:p w:rsidR="007E3B59" w:rsidRPr="000A1DF6" w:rsidRDefault="007E3B59" w:rsidP="007E3B59">
      <w:pPr>
        <w:pStyle w:val="ListParagraph"/>
        <w:keepNext/>
        <w:keepLines/>
        <w:numPr>
          <w:ilvl w:val="2"/>
          <w:numId w:val="4"/>
        </w:numPr>
        <w:spacing w:after="0" w:line="240" w:lineRule="auto"/>
        <w:jc w:val="both"/>
        <w:rPr>
          <w:rFonts w:ascii="Arial" w:hAnsi="Arial" w:cs="Arial"/>
          <w:sz w:val="20"/>
          <w:szCs w:val="20"/>
          <w:lang w:val="en-GB"/>
        </w:rPr>
      </w:pPr>
      <w:r w:rsidRPr="000A1DF6">
        <w:rPr>
          <w:rFonts w:ascii="Arial" w:hAnsi="Arial" w:cs="Arial"/>
          <w:sz w:val="20"/>
          <w:szCs w:val="20"/>
          <w:lang w:val="en-GB"/>
        </w:rPr>
        <w:t>National competition authorities (Article 16(3)(d) of REMIT);</w:t>
      </w:r>
    </w:p>
    <w:p w:rsidR="007E3B59" w:rsidRPr="000A1DF6" w:rsidRDefault="007E3B59" w:rsidP="007E3B59">
      <w:pPr>
        <w:pStyle w:val="ListParagraph"/>
        <w:keepNext/>
        <w:keepLines/>
        <w:numPr>
          <w:ilvl w:val="2"/>
          <w:numId w:val="4"/>
        </w:numPr>
        <w:spacing w:after="0" w:line="240" w:lineRule="auto"/>
        <w:jc w:val="both"/>
        <w:rPr>
          <w:rFonts w:ascii="Arial" w:hAnsi="Arial" w:cs="Arial"/>
          <w:sz w:val="20"/>
          <w:szCs w:val="20"/>
          <w:lang w:val="en-GB"/>
        </w:rPr>
      </w:pPr>
      <w:r w:rsidRPr="000A1DF6">
        <w:rPr>
          <w:rFonts w:ascii="Arial" w:hAnsi="Arial" w:cs="Arial"/>
          <w:sz w:val="20"/>
          <w:szCs w:val="20"/>
          <w:lang w:val="en-GB"/>
        </w:rPr>
        <w:t>The European Commission (Article 16(3)(d) of REMIT);</w:t>
      </w:r>
    </w:p>
    <w:p w:rsidR="007E3B59" w:rsidRPr="000A1DF6" w:rsidRDefault="007E3B59" w:rsidP="007E3B59">
      <w:pPr>
        <w:pStyle w:val="ListParagraph"/>
        <w:keepNext/>
        <w:keepLines/>
        <w:numPr>
          <w:ilvl w:val="2"/>
          <w:numId w:val="4"/>
        </w:numPr>
        <w:spacing w:after="0" w:line="240" w:lineRule="auto"/>
        <w:jc w:val="both"/>
        <w:rPr>
          <w:rFonts w:ascii="Arial" w:hAnsi="Arial" w:cs="Arial"/>
          <w:sz w:val="20"/>
          <w:szCs w:val="20"/>
          <w:lang w:val="en-GB"/>
        </w:rPr>
      </w:pPr>
      <w:r w:rsidRPr="000A1DF6">
        <w:rPr>
          <w:rFonts w:ascii="Arial" w:hAnsi="Arial" w:cs="Arial"/>
          <w:sz w:val="20"/>
          <w:szCs w:val="20"/>
          <w:lang w:val="en-GB"/>
        </w:rPr>
        <w:t xml:space="preserve">Other authorities or competent judicial authorities also entrusted with investigatory and enforcement powers as per Article 13(1) of REMIT. </w:t>
      </w:r>
    </w:p>
    <w:p w:rsidR="007E3B59" w:rsidRPr="000A1DF6" w:rsidRDefault="007E3B59" w:rsidP="007E3B59">
      <w:pPr>
        <w:pStyle w:val="ListParagraph"/>
        <w:keepNext/>
        <w:keepLines/>
        <w:spacing w:after="0" w:line="240" w:lineRule="auto"/>
        <w:ind w:left="2160"/>
        <w:jc w:val="both"/>
        <w:rPr>
          <w:rFonts w:ascii="Arial" w:hAnsi="Arial" w:cs="Arial"/>
          <w:sz w:val="20"/>
          <w:szCs w:val="20"/>
          <w:lang w:val="en-GB"/>
        </w:rPr>
      </w:pPr>
    </w:p>
    <w:p w:rsidR="007E3B59" w:rsidRPr="000A1DF6" w:rsidRDefault="007E3B59" w:rsidP="007E3B59">
      <w:pPr>
        <w:keepNext/>
        <w:keepLines/>
        <w:autoSpaceDE w:val="0"/>
        <w:autoSpaceDN w:val="0"/>
        <w:adjustRightInd w:val="0"/>
        <w:spacing w:after="0" w:line="240" w:lineRule="auto"/>
        <w:jc w:val="both"/>
        <w:rPr>
          <w:rFonts w:ascii="Arial" w:hAnsi="Arial" w:cs="Arial"/>
          <w:sz w:val="20"/>
          <w:szCs w:val="20"/>
          <w:lang w:val="en-GB"/>
        </w:rPr>
      </w:pPr>
      <w:r w:rsidRPr="000A1DF6">
        <w:rPr>
          <w:rFonts w:ascii="Arial" w:hAnsi="Arial" w:cs="Arial"/>
          <w:sz w:val="20"/>
          <w:szCs w:val="20"/>
          <w:lang w:val="en-GB"/>
        </w:rPr>
        <w:t>On an exceptional basis and after the Agency’s prior consent, personal data might also be disclosed to the following entities:</w:t>
      </w:r>
    </w:p>
    <w:p w:rsidR="007E3B59" w:rsidRPr="000A1DF6" w:rsidRDefault="007E3B59" w:rsidP="007E3B59">
      <w:pPr>
        <w:pStyle w:val="ListParagraph"/>
        <w:keepNext/>
        <w:keepLines/>
        <w:numPr>
          <w:ilvl w:val="0"/>
          <w:numId w:val="2"/>
        </w:numPr>
        <w:autoSpaceDE w:val="0"/>
        <w:autoSpaceDN w:val="0"/>
        <w:adjustRightInd w:val="0"/>
        <w:spacing w:after="0" w:line="240" w:lineRule="auto"/>
        <w:jc w:val="both"/>
        <w:rPr>
          <w:rFonts w:ascii="Arial" w:hAnsi="Arial" w:cs="Arial"/>
          <w:sz w:val="20"/>
          <w:szCs w:val="20"/>
          <w:lang w:val="en-GB"/>
        </w:rPr>
      </w:pPr>
      <w:r w:rsidRPr="000A1DF6">
        <w:rPr>
          <w:rFonts w:ascii="Arial" w:hAnsi="Arial" w:cs="Arial"/>
          <w:sz w:val="20"/>
          <w:szCs w:val="20"/>
          <w:lang w:val="en-GB"/>
        </w:rPr>
        <w:t xml:space="preserve">Contractors responsible for the development and maintenance of the CMT; </w:t>
      </w:r>
    </w:p>
    <w:p w:rsidR="007E3B59" w:rsidRPr="000A1DF6" w:rsidRDefault="007E3B59" w:rsidP="007E3B59">
      <w:pPr>
        <w:pStyle w:val="ListParagraph"/>
        <w:keepNext/>
        <w:keepLines/>
        <w:numPr>
          <w:ilvl w:val="0"/>
          <w:numId w:val="2"/>
        </w:numPr>
        <w:autoSpaceDE w:val="0"/>
        <w:autoSpaceDN w:val="0"/>
        <w:adjustRightInd w:val="0"/>
        <w:spacing w:after="0" w:line="240" w:lineRule="auto"/>
        <w:jc w:val="both"/>
        <w:rPr>
          <w:rFonts w:ascii="Arial" w:hAnsi="Arial" w:cs="Arial"/>
          <w:sz w:val="20"/>
          <w:szCs w:val="20"/>
          <w:lang w:val="en-GB"/>
        </w:rPr>
      </w:pPr>
      <w:r w:rsidRPr="000A1DF6">
        <w:rPr>
          <w:rFonts w:ascii="Arial" w:hAnsi="Arial" w:cs="Arial"/>
          <w:sz w:val="20"/>
          <w:szCs w:val="20"/>
          <w:lang w:val="en-GB"/>
        </w:rPr>
        <w:t>Contractors</w:t>
      </w:r>
      <w:r w:rsidRPr="000A1DF6" w:rsidDel="00BC6885">
        <w:rPr>
          <w:rFonts w:ascii="Arial" w:hAnsi="Arial" w:cs="Arial"/>
          <w:sz w:val="20"/>
          <w:szCs w:val="20"/>
          <w:lang w:val="en-GB"/>
        </w:rPr>
        <w:t xml:space="preserve"> </w:t>
      </w:r>
      <w:r w:rsidRPr="000A1DF6">
        <w:rPr>
          <w:rFonts w:ascii="Arial" w:hAnsi="Arial" w:cs="Arial"/>
          <w:sz w:val="20"/>
          <w:szCs w:val="20"/>
          <w:lang w:val="en-GB"/>
        </w:rPr>
        <w:t>providing hosting services for the CMT; and</w:t>
      </w:r>
    </w:p>
    <w:p w:rsidR="007E3B59" w:rsidRPr="000A1DF6" w:rsidRDefault="007E3B59" w:rsidP="007E3B59">
      <w:pPr>
        <w:pStyle w:val="ListParagraph"/>
        <w:keepNext/>
        <w:keepLines/>
        <w:numPr>
          <w:ilvl w:val="0"/>
          <w:numId w:val="2"/>
        </w:numPr>
        <w:autoSpaceDE w:val="0"/>
        <w:autoSpaceDN w:val="0"/>
        <w:adjustRightInd w:val="0"/>
        <w:spacing w:after="0" w:line="240" w:lineRule="auto"/>
        <w:jc w:val="both"/>
        <w:rPr>
          <w:rFonts w:ascii="Arial" w:hAnsi="Arial" w:cs="Arial"/>
          <w:sz w:val="20"/>
          <w:szCs w:val="20"/>
          <w:lang w:val="en-GB"/>
        </w:rPr>
      </w:pPr>
      <w:r w:rsidRPr="000A1DF6">
        <w:rPr>
          <w:rFonts w:ascii="Arial" w:hAnsi="Arial" w:cs="Arial"/>
          <w:sz w:val="20"/>
          <w:szCs w:val="20"/>
          <w:lang w:val="en-GB"/>
        </w:rPr>
        <w:t xml:space="preserve">Contractors managing the Central Service Desk of the Agency. </w:t>
      </w:r>
    </w:p>
    <w:p w:rsidR="007E3B59" w:rsidRPr="000A1DF6" w:rsidRDefault="007E3B59" w:rsidP="007E3B59">
      <w:pPr>
        <w:pStyle w:val="ListParagraph"/>
        <w:keepNext/>
        <w:keepLines/>
        <w:autoSpaceDE w:val="0"/>
        <w:autoSpaceDN w:val="0"/>
        <w:adjustRightInd w:val="0"/>
        <w:spacing w:after="0" w:line="240" w:lineRule="auto"/>
        <w:jc w:val="both"/>
        <w:rPr>
          <w:rFonts w:ascii="Arial" w:hAnsi="Arial" w:cs="Arial"/>
          <w:sz w:val="20"/>
          <w:szCs w:val="20"/>
          <w:lang w:val="en-GB"/>
        </w:rPr>
      </w:pPr>
    </w:p>
    <w:p w:rsidR="007E3B59" w:rsidRPr="000A1DF6" w:rsidRDefault="007E3B59" w:rsidP="007E3B59">
      <w:pPr>
        <w:keepNext/>
        <w:keepLines/>
        <w:autoSpaceDE w:val="0"/>
        <w:autoSpaceDN w:val="0"/>
        <w:adjustRightInd w:val="0"/>
        <w:spacing w:after="0" w:line="240" w:lineRule="auto"/>
        <w:jc w:val="both"/>
        <w:rPr>
          <w:rFonts w:ascii="Arial" w:hAnsi="Arial" w:cs="Arial"/>
          <w:sz w:val="20"/>
          <w:szCs w:val="20"/>
          <w:lang w:val="en-GB"/>
        </w:rPr>
      </w:pPr>
      <w:r w:rsidRPr="000A1DF6">
        <w:rPr>
          <w:rFonts w:ascii="Arial" w:hAnsi="Arial" w:cs="Arial"/>
          <w:sz w:val="20"/>
          <w:szCs w:val="20"/>
          <w:lang w:val="en-GB"/>
        </w:rPr>
        <w:t xml:space="preserve">Disclosure of personal data to these companies is realised in the execution of Framework and Specific Contracts.  Contractors are bound by the confidentiality rules and data protection provisions established therein. </w:t>
      </w:r>
    </w:p>
    <w:p w:rsidR="007E3B59" w:rsidRPr="000A1DF6" w:rsidRDefault="007E3B59" w:rsidP="007E3B59">
      <w:pPr>
        <w:keepNext/>
        <w:keepLines/>
        <w:autoSpaceDE w:val="0"/>
        <w:autoSpaceDN w:val="0"/>
        <w:adjustRightInd w:val="0"/>
        <w:spacing w:after="0" w:line="240" w:lineRule="auto"/>
        <w:jc w:val="both"/>
        <w:rPr>
          <w:rFonts w:ascii="Arial" w:hAnsi="Arial" w:cs="Arial"/>
          <w:sz w:val="20"/>
          <w:szCs w:val="20"/>
          <w:lang w:val="en-GB"/>
        </w:rPr>
      </w:pPr>
    </w:p>
    <w:p w:rsidR="007E3B59" w:rsidRPr="000A1DF6" w:rsidRDefault="007E3B59" w:rsidP="007E3B59">
      <w:pPr>
        <w:pStyle w:val="ListParagraph"/>
        <w:keepNext/>
        <w:keepLines/>
        <w:spacing w:after="0" w:line="240" w:lineRule="auto"/>
        <w:ind w:left="0"/>
        <w:jc w:val="both"/>
        <w:rPr>
          <w:rFonts w:ascii="Arial" w:hAnsi="Arial" w:cs="Arial"/>
          <w:sz w:val="20"/>
          <w:szCs w:val="20"/>
          <w:lang w:val="en-GB"/>
        </w:rPr>
      </w:pPr>
      <w:r w:rsidRPr="000A1DF6">
        <w:rPr>
          <w:rFonts w:ascii="Arial" w:hAnsi="Arial" w:cs="Arial"/>
          <w:sz w:val="20"/>
          <w:szCs w:val="20"/>
          <w:lang w:val="en-GB"/>
        </w:rPr>
        <w:t>If appropriate, access will be given to the European Court of Auditors, the European Ombudsman, the European Data Protection Supervisor, the General Court of the European Union, the European Court of Justice and the Civil Service Tribunal.  If requested, personal data can also be disclosed to the European Anti-Fraud Office (OLAF).</w:t>
      </w:r>
    </w:p>
    <w:p w:rsidR="007E3B59" w:rsidRPr="000A1DF6" w:rsidRDefault="007E3B59" w:rsidP="007E3B59">
      <w:pPr>
        <w:pStyle w:val="ListParagraph"/>
        <w:keepNext/>
        <w:keepLines/>
        <w:spacing w:after="0" w:line="240" w:lineRule="auto"/>
        <w:ind w:left="0"/>
        <w:jc w:val="both"/>
        <w:rPr>
          <w:rFonts w:ascii="Arial" w:hAnsi="Arial" w:cs="Arial"/>
          <w:sz w:val="20"/>
          <w:szCs w:val="20"/>
          <w:lang w:val="en-GB"/>
        </w:rPr>
      </w:pPr>
    </w:p>
    <w:p w:rsidR="007E3B59" w:rsidRPr="000A1DF6" w:rsidRDefault="007E3B59" w:rsidP="007E3B59">
      <w:pPr>
        <w:pStyle w:val="ListParagraph"/>
        <w:keepNext/>
        <w:keepLines/>
        <w:spacing w:after="0" w:line="240" w:lineRule="auto"/>
        <w:ind w:left="0"/>
        <w:jc w:val="both"/>
        <w:rPr>
          <w:rFonts w:ascii="Arial" w:hAnsi="Arial" w:cs="Arial"/>
          <w:sz w:val="20"/>
          <w:szCs w:val="20"/>
          <w:lang w:val="en-GB"/>
        </w:rPr>
      </w:pPr>
      <w:r w:rsidRPr="000A1DF6">
        <w:rPr>
          <w:rFonts w:ascii="Arial" w:hAnsi="Arial" w:cs="Arial"/>
          <w:sz w:val="20"/>
          <w:szCs w:val="20"/>
          <w:lang w:val="en-GB"/>
        </w:rPr>
        <w:t>The retention period of your personal data is 10 years following ceasing to be a user of the CMT.</w:t>
      </w:r>
    </w:p>
    <w:p w:rsidR="007E3B59" w:rsidRPr="000A1DF6" w:rsidRDefault="007E3B59" w:rsidP="007E3B59">
      <w:pPr>
        <w:keepNext/>
        <w:keepLines/>
        <w:spacing w:after="0" w:line="240" w:lineRule="auto"/>
        <w:jc w:val="both"/>
        <w:rPr>
          <w:rFonts w:ascii="Arial" w:hAnsi="Arial" w:cs="Arial"/>
          <w:sz w:val="20"/>
          <w:szCs w:val="20"/>
        </w:rPr>
      </w:pPr>
    </w:p>
    <w:p w:rsidR="007E3B59" w:rsidRPr="000A1DF6" w:rsidRDefault="007E3B59" w:rsidP="007E3B59">
      <w:pPr>
        <w:pStyle w:val="ListParagraph"/>
        <w:keepNext/>
        <w:keepLines/>
        <w:numPr>
          <w:ilvl w:val="0"/>
          <w:numId w:val="1"/>
        </w:numPr>
        <w:spacing w:after="0" w:line="240" w:lineRule="auto"/>
        <w:jc w:val="both"/>
        <w:outlineLvl w:val="0"/>
        <w:rPr>
          <w:rFonts w:ascii="Arial" w:eastAsia="Times New Roman" w:hAnsi="Arial" w:cs="Arial"/>
          <w:b/>
          <w:color w:val="365F91"/>
          <w:sz w:val="20"/>
          <w:szCs w:val="20"/>
          <w:lang w:val="en-GB" w:eastAsia="en-GB"/>
        </w:rPr>
      </w:pPr>
      <w:r w:rsidRPr="000A1DF6">
        <w:rPr>
          <w:rFonts w:ascii="Arial" w:eastAsia="Times New Roman" w:hAnsi="Arial" w:cs="Arial"/>
          <w:b/>
          <w:color w:val="365F91"/>
          <w:sz w:val="20"/>
          <w:szCs w:val="20"/>
          <w:lang w:val="en-GB" w:eastAsia="en-GB"/>
        </w:rPr>
        <w:t>Data subjects’ rights and available recourse measures</w:t>
      </w:r>
    </w:p>
    <w:p w:rsidR="007E3B59" w:rsidRPr="000A1DF6" w:rsidRDefault="007E3B59" w:rsidP="007E3B59">
      <w:pPr>
        <w:pStyle w:val="ListParagraph"/>
        <w:keepNext/>
        <w:keepLines/>
        <w:spacing w:after="0" w:line="240" w:lineRule="auto"/>
        <w:jc w:val="both"/>
        <w:outlineLvl w:val="0"/>
        <w:rPr>
          <w:rFonts w:ascii="Arial" w:eastAsia="Times New Roman" w:hAnsi="Arial" w:cs="Arial"/>
          <w:b/>
          <w:color w:val="365F91"/>
          <w:sz w:val="20"/>
          <w:szCs w:val="20"/>
          <w:lang w:val="en-GB" w:eastAsia="en-GB"/>
        </w:rPr>
      </w:pPr>
    </w:p>
    <w:p w:rsidR="007E3B59" w:rsidRPr="000A1DF6" w:rsidRDefault="007E3B59" w:rsidP="007E3B59">
      <w:pPr>
        <w:keepNext/>
        <w:keepLines/>
        <w:spacing w:after="0" w:line="240" w:lineRule="auto"/>
        <w:jc w:val="both"/>
        <w:outlineLvl w:val="0"/>
        <w:rPr>
          <w:rFonts w:ascii="Arial" w:hAnsi="Arial" w:cs="Arial"/>
          <w:sz w:val="20"/>
          <w:szCs w:val="20"/>
          <w:lang w:val="en-GB"/>
        </w:rPr>
      </w:pPr>
      <w:r w:rsidRPr="000A1DF6">
        <w:rPr>
          <w:rFonts w:ascii="Arial" w:hAnsi="Arial" w:cs="Arial"/>
          <w:sz w:val="20"/>
          <w:szCs w:val="20"/>
          <w:lang w:val="en-GB"/>
        </w:rPr>
        <w:t xml:space="preserve">Data subjects notably have the right of access to, rectification, blocking, and erasure of their personal data.  Data subjects’ rights are governed by the provisions of Regulation (EC) No 45/2001.  </w:t>
      </w:r>
    </w:p>
    <w:p w:rsidR="007E3B59" w:rsidRPr="000A1DF6" w:rsidRDefault="007E3B59" w:rsidP="007E3B59">
      <w:pPr>
        <w:keepNext/>
        <w:keepLines/>
        <w:spacing w:after="0" w:line="240" w:lineRule="auto"/>
        <w:jc w:val="both"/>
        <w:outlineLvl w:val="0"/>
        <w:rPr>
          <w:rFonts w:ascii="Arial" w:hAnsi="Arial" w:cs="Arial"/>
          <w:sz w:val="20"/>
          <w:szCs w:val="20"/>
          <w:lang w:val="en-GB"/>
        </w:rPr>
      </w:pPr>
    </w:p>
    <w:p w:rsidR="007E3B59" w:rsidRPr="000A1DF6" w:rsidRDefault="007E3B59" w:rsidP="007E3B59">
      <w:pPr>
        <w:keepNext/>
        <w:keepLines/>
        <w:spacing w:after="0" w:line="240" w:lineRule="auto"/>
        <w:jc w:val="both"/>
        <w:outlineLvl w:val="0"/>
        <w:rPr>
          <w:rFonts w:ascii="Arial" w:hAnsi="Arial" w:cs="Arial"/>
          <w:sz w:val="20"/>
          <w:szCs w:val="20"/>
          <w:lang w:val="en-GB"/>
        </w:rPr>
      </w:pPr>
      <w:r w:rsidRPr="000A1DF6">
        <w:rPr>
          <w:rFonts w:ascii="Arial" w:hAnsi="Arial" w:cs="Arial"/>
          <w:sz w:val="20"/>
          <w:szCs w:val="20"/>
          <w:lang w:val="en-GB"/>
        </w:rPr>
        <w:t>Data subjects seeking clarification of their rights or further information should contact the Agency’s data protection officer (</w:t>
      </w:r>
      <w:hyperlink r:id="rId6" w:history="1">
        <w:r w:rsidRPr="000A1DF6">
          <w:rPr>
            <w:rStyle w:val="Hyperlink"/>
            <w:rFonts w:ascii="Arial" w:hAnsi="Arial" w:cs="Arial"/>
            <w:sz w:val="20"/>
            <w:szCs w:val="20"/>
            <w:lang w:val="en-GB"/>
          </w:rPr>
          <w:t>DPO@acer.europa.eu</w:t>
        </w:r>
      </w:hyperlink>
      <w:r w:rsidRPr="000A1DF6">
        <w:rPr>
          <w:rFonts w:ascii="Arial" w:hAnsi="Arial" w:cs="Arial"/>
          <w:sz w:val="20"/>
          <w:szCs w:val="20"/>
          <w:lang w:val="en-GB"/>
        </w:rPr>
        <w:t>).</w:t>
      </w:r>
    </w:p>
    <w:p w:rsidR="007E3B59" w:rsidRPr="000A1DF6" w:rsidRDefault="007E3B59" w:rsidP="007E3B59">
      <w:pPr>
        <w:keepNext/>
        <w:keepLines/>
        <w:spacing w:after="0" w:line="240" w:lineRule="auto"/>
        <w:jc w:val="both"/>
        <w:outlineLvl w:val="0"/>
        <w:rPr>
          <w:rFonts w:ascii="Arial" w:hAnsi="Arial" w:cs="Arial"/>
          <w:sz w:val="20"/>
          <w:szCs w:val="20"/>
          <w:lang w:val="en-GB"/>
        </w:rPr>
      </w:pPr>
    </w:p>
    <w:p w:rsidR="007E3B59" w:rsidRPr="000A1DF6" w:rsidRDefault="007E3B59" w:rsidP="007E3B59">
      <w:pPr>
        <w:keepNext/>
        <w:keepLines/>
        <w:spacing w:after="0" w:line="240" w:lineRule="auto"/>
        <w:jc w:val="both"/>
        <w:outlineLvl w:val="0"/>
        <w:rPr>
          <w:rFonts w:ascii="Arial" w:hAnsi="Arial" w:cs="Arial"/>
          <w:sz w:val="20"/>
          <w:szCs w:val="20"/>
          <w:lang w:val="en-GB"/>
        </w:rPr>
      </w:pPr>
      <w:r w:rsidRPr="000A1DF6">
        <w:rPr>
          <w:rFonts w:ascii="Arial" w:hAnsi="Arial" w:cs="Arial"/>
          <w:sz w:val="20"/>
          <w:szCs w:val="20"/>
          <w:lang w:val="en-GB"/>
        </w:rPr>
        <w:t>Data subjects wishing to exercise these rights are requested to contact either the person in charge of the processing (details above), or the Agency’s data protection officer (</w:t>
      </w:r>
      <w:hyperlink r:id="rId7" w:history="1">
        <w:r w:rsidRPr="000A1DF6">
          <w:rPr>
            <w:rStyle w:val="Hyperlink"/>
            <w:rFonts w:ascii="Arial" w:hAnsi="Arial" w:cs="Arial"/>
            <w:sz w:val="20"/>
            <w:szCs w:val="20"/>
            <w:lang w:val="en-GB"/>
          </w:rPr>
          <w:t>DPO@acer.europa.eu</w:t>
        </w:r>
      </w:hyperlink>
      <w:r w:rsidRPr="000A1DF6">
        <w:rPr>
          <w:rFonts w:ascii="Arial" w:hAnsi="Arial" w:cs="Arial"/>
          <w:sz w:val="20"/>
          <w:szCs w:val="20"/>
          <w:lang w:val="en-GB"/>
        </w:rPr>
        <w:t>).</w:t>
      </w:r>
    </w:p>
    <w:p w:rsidR="007E3B59" w:rsidRPr="000A1DF6" w:rsidRDefault="007E3B59" w:rsidP="007E3B59">
      <w:pPr>
        <w:keepNext/>
        <w:keepLines/>
        <w:spacing w:after="0" w:line="240" w:lineRule="auto"/>
        <w:jc w:val="both"/>
        <w:outlineLvl w:val="0"/>
        <w:rPr>
          <w:rFonts w:ascii="Arial" w:hAnsi="Arial" w:cs="Arial"/>
          <w:sz w:val="20"/>
          <w:szCs w:val="20"/>
          <w:lang w:val="en-GB"/>
        </w:rPr>
      </w:pPr>
    </w:p>
    <w:p w:rsidR="007E3B59" w:rsidRPr="000A1DF6" w:rsidRDefault="007E3B59" w:rsidP="007E3B59">
      <w:pPr>
        <w:keepNext/>
        <w:keepLines/>
        <w:spacing w:after="0" w:line="240" w:lineRule="auto"/>
        <w:jc w:val="both"/>
        <w:outlineLvl w:val="0"/>
        <w:rPr>
          <w:rFonts w:ascii="Arial" w:hAnsi="Arial" w:cs="Arial"/>
          <w:sz w:val="20"/>
          <w:szCs w:val="20"/>
        </w:rPr>
      </w:pPr>
      <w:r w:rsidRPr="000A1DF6">
        <w:rPr>
          <w:rFonts w:ascii="Arial" w:hAnsi="Arial" w:cs="Arial"/>
          <w:sz w:val="20"/>
          <w:szCs w:val="20"/>
          <w:lang w:val="en-GB"/>
        </w:rPr>
        <w:t>Finally, the data subjects may, at any time, have recourse to the European Data Protection Supervisor</w:t>
      </w:r>
      <w:r w:rsidRPr="000A1DF6">
        <w:rPr>
          <w:rFonts w:ascii="Arial" w:eastAsia="Times New Roman" w:hAnsi="Arial" w:cs="Arial"/>
          <w:bCs/>
          <w:iCs/>
          <w:sz w:val="20"/>
          <w:szCs w:val="20"/>
        </w:rPr>
        <w:t xml:space="preserve"> (</w:t>
      </w:r>
      <w:hyperlink r:id="rId8" w:history="1">
        <w:r w:rsidRPr="000A1DF6">
          <w:rPr>
            <w:rStyle w:val="Hyperlink"/>
            <w:rFonts w:ascii="Arial" w:hAnsi="Arial" w:cs="Arial"/>
            <w:sz w:val="20"/>
            <w:szCs w:val="20"/>
          </w:rPr>
          <w:t>http://www.edps.europa.eu</w:t>
        </w:r>
      </w:hyperlink>
      <w:r w:rsidRPr="000A1DF6">
        <w:rPr>
          <w:rFonts w:ascii="Arial" w:hAnsi="Arial" w:cs="Arial"/>
          <w:sz w:val="20"/>
          <w:szCs w:val="20"/>
        </w:rPr>
        <w:t>).</w:t>
      </w:r>
    </w:p>
    <w:p w:rsidR="00394831" w:rsidRDefault="00394831"/>
    <w:sectPr w:rsidR="00394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B2C45"/>
    <w:multiLevelType w:val="hybridMultilevel"/>
    <w:tmpl w:val="348A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C1196C"/>
    <w:multiLevelType w:val="hybridMultilevel"/>
    <w:tmpl w:val="082E1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C54BD0"/>
    <w:multiLevelType w:val="hybridMultilevel"/>
    <w:tmpl w:val="4C364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2469FE"/>
    <w:multiLevelType w:val="hybridMultilevel"/>
    <w:tmpl w:val="3474CB3C"/>
    <w:lvl w:ilvl="0" w:tplc="08090001">
      <w:start w:val="1"/>
      <w:numFmt w:val="bullet"/>
      <w:lvlText w:val=""/>
      <w:lvlJc w:val="left"/>
      <w:pPr>
        <w:ind w:left="720" w:hanging="360"/>
      </w:pPr>
      <w:rPr>
        <w:rFonts w:ascii="Symbol" w:hAnsi="Symbol" w:hint="default"/>
      </w:rPr>
    </w:lvl>
    <w:lvl w:ilvl="1" w:tplc="5A92FBB4">
      <w:start w:val="600"/>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59"/>
    <w:rsid w:val="00394831"/>
    <w:rsid w:val="007E3B59"/>
    <w:rsid w:val="00C95DC4"/>
    <w:rsid w:val="00CD1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5F117-5D76-4063-B0D6-FFA4BF33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B5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B59"/>
    <w:rPr>
      <w:color w:val="0000FF"/>
      <w:u w:val="single"/>
    </w:rPr>
  </w:style>
  <w:style w:type="paragraph" w:styleId="ListParagraph">
    <w:name w:val="List Paragraph"/>
    <w:basedOn w:val="Normal"/>
    <w:link w:val="ListParagraphChar"/>
    <w:uiPriority w:val="34"/>
    <w:qFormat/>
    <w:rsid w:val="007E3B59"/>
    <w:pPr>
      <w:ind w:left="720"/>
      <w:contextualSpacing/>
    </w:pPr>
  </w:style>
  <w:style w:type="character" w:customStyle="1" w:styleId="ListParagraphChar">
    <w:name w:val="List Paragraph Char"/>
    <w:link w:val="ListParagraph"/>
    <w:uiPriority w:val="34"/>
    <w:locked/>
    <w:rsid w:val="007E3B5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ps.europa.eu"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DPO@acer.europa.e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acer.europa.eu" TargetMode="External"/><Relationship Id="rId11" Type="http://schemas.openxmlformats.org/officeDocument/2006/relationships/customXml" Target="../customXml/item1.xml"/><Relationship Id="rId5" Type="http://schemas.openxmlformats.org/officeDocument/2006/relationships/hyperlink" Target="mailto:market.conduct@acer.europa.eu" TargetMode="Externa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9DD38BBCCB94CB488FFC588F99A7B" ma:contentTypeVersion="21" ma:contentTypeDescription="Create a new document." ma:contentTypeScope="" ma:versionID="13e0ccd69b78bb3dd2793631f483fac6">
  <xsd:schema xmlns:xsd="http://www.w3.org/2001/XMLSchema" xmlns:xs="http://www.w3.org/2001/XMLSchema" xmlns:p="http://schemas.microsoft.com/office/2006/metadata/properties" xmlns:ns2="985daa2e-53d8-4475-82b8-9c7d25324e34" xmlns:ns3="7bd7530c-6cfd-4e50-ab17-5fea2aac87a9" targetNamespace="http://schemas.microsoft.com/office/2006/metadata/properties" ma:root="true" ma:fieldsID="a0ffd2247cbc52821968155b0add2cb6" ns2:_="" ns3:_="">
    <xsd:import namespace="985daa2e-53d8-4475-82b8-9c7d25324e34"/>
    <xsd:import namespace="7bd7530c-6cfd-4e50-ab17-5fea2aac87a9"/>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Description0" minOccurs="0"/>
                <xsd:element ref="ns3:Publishing_x0020_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element name="Publishing_x0020_date" ma:index="13" nillable="true" ma:displayName="Publishing date" ma:format="DateOnly" ma:internalName="Publish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ACER-2017-76964</_dlc_DocId>
    <_dlc_DocIdUrl xmlns="985daa2e-53d8-4475-82b8-9c7d25324e34">
      <Url>http://extranet.acer.europa.eu/Media/_layouts/15/DocIdRedir.aspx?ID=ACER-2017-76964</Url>
      <Description>ACER-2017-76964</Description>
    </_dlc_DocIdUrl>
    <Publishing_x0020_date xmlns="7bd7530c-6cfd-4e50-ab17-5fea2aac87a9" xsi:nil="true"/>
    <Description0 xmlns="7bd7530c-6cfd-4e50-ab17-5fea2aac87a9" xsi:nil="true"/>
    <ACER_Abstract xmlns="985daa2e-53d8-4475-82b8-9c7d25324e3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Props1.xml><?xml version="1.0" encoding="utf-8"?>
<ds:datastoreItem xmlns:ds="http://schemas.openxmlformats.org/officeDocument/2006/customXml" ds:itemID="{2CF559F4-BE7E-4EF7-9054-70D5941FB5AD}"/>
</file>

<file path=customXml/itemProps2.xml><?xml version="1.0" encoding="utf-8"?>
<ds:datastoreItem xmlns:ds="http://schemas.openxmlformats.org/officeDocument/2006/customXml" ds:itemID="{08C1009D-4214-4007-A633-39E8CF7AD60C}"/>
</file>

<file path=customXml/itemProps3.xml><?xml version="1.0" encoding="utf-8"?>
<ds:datastoreItem xmlns:ds="http://schemas.openxmlformats.org/officeDocument/2006/customXml" ds:itemID="{1C36AD95-DB25-4D88-8A3B-E285F3FAE195}"/>
</file>

<file path=customXml/itemProps4.xml><?xml version="1.0" encoding="utf-8"?>
<ds:datastoreItem xmlns:ds="http://schemas.openxmlformats.org/officeDocument/2006/customXml" ds:itemID="{08C1009D-4214-4007-A633-39E8CF7AD60C}"/>
</file>

<file path=customXml/itemProps5.xml><?xml version="1.0" encoding="utf-8"?>
<ds:datastoreItem xmlns:ds="http://schemas.openxmlformats.org/officeDocument/2006/customXml" ds:itemID="{51663177-5D0E-4B52-AE9B-EF86F4D48CD7}"/>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Marie-Judith MORICONI (ACER)</dc:creator>
  <cp:keywords/>
  <dc:description/>
  <cp:lastModifiedBy>Marie-Judith MORICONI (ACER)</cp:lastModifiedBy>
  <cp:revision>3</cp:revision>
  <dcterms:created xsi:type="dcterms:W3CDTF">2017-04-11T10:51:00Z</dcterms:created>
  <dcterms:modified xsi:type="dcterms:W3CDTF">2017-10-27T14:10:00Z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4d5fee1c-d9b2-4b50-bcdc-27b8642a2f37</vt:lpwstr>
  </property>
  <property fmtid="{D5CDD505-2E9C-101B-9397-08002B2CF9AE}" pid="3" name="ContentTypeId">
    <vt:lpwstr>0x0101001AE9DD38BBCCB94CB488FFC588F99A7B</vt:lpwstr>
  </property>
</Properties>
</file>